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CFA6" w14:textId="77777777" w:rsidR="00B16DC7" w:rsidRDefault="00B16DC7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60ED3A" wp14:editId="09DB83E7">
            <wp:extent cx="1390650" cy="1194145"/>
            <wp:effectExtent l="0" t="0" r="0" b="0"/>
            <wp:docPr id="483786146" name="Picture 1" descr="A black background with colorful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786146" name="Picture 1" descr="A black background with colorful tex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839" cy="120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F2767" w14:textId="77777777" w:rsidR="00B16DC7" w:rsidRDefault="00B16DC7">
      <w:pPr>
        <w:spacing w:after="0"/>
        <w:jc w:val="center"/>
        <w:rPr>
          <w:b/>
          <w:sz w:val="28"/>
          <w:szCs w:val="28"/>
        </w:rPr>
      </w:pPr>
    </w:p>
    <w:p w14:paraId="6B9AB0A2" w14:textId="1A2CBB4F" w:rsidR="00706A14" w:rsidRPr="002B6794" w:rsidRDefault="002B6794" w:rsidP="002B6794">
      <w:pPr>
        <w:jc w:val="center"/>
        <w:rPr>
          <w:b/>
          <w:bCs/>
          <w:sz w:val="32"/>
          <w:szCs w:val="32"/>
        </w:rPr>
      </w:pPr>
      <w:r w:rsidRPr="002B6794">
        <w:rPr>
          <w:b/>
          <w:bCs/>
          <w:sz w:val="32"/>
          <w:szCs w:val="32"/>
        </w:rPr>
        <w:t>How To Connect with Your Local Schools</w:t>
      </w:r>
    </w:p>
    <w:p w14:paraId="00936552" w14:textId="77777777" w:rsidR="00706A14" w:rsidRDefault="001B5DC0">
      <w:pPr>
        <w:rPr>
          <w:sz w:val="24"/>
          <w:szCs w:val="24"/>
        </w:rPr>
      </w:pPr>
      <w:r>
        <w:rPr>
          <w:b/>
          <w:color w:val="156082"/>
          <w:sz w:val="24"/>
          <w:szCs w:val="24"/>
        </w:rPr>
        <w:t xml:space="preserve">TARGET AUDIENCE: </w:t>
      </w:r>
      <w:r>
        <w:rPr>
          <w:sz w:val="24"/>
          <w:szCs w:val="24"/>
        </w:rPr>
        <w:t>Grades 6-12, Colleges and Universities</w:t>
      </w:r>
    </w:p>
    <w:p w14:paraId="31A2A44D" w14:textId="77777777" w:rsidR="00706A14" w:rsidRDefault="001B5DC0">
      <w:pPr>
        <w:rPr>
          <w:color w:val="156082"/>
          <w:sz w:val="24"/>
          <w:szCs w:val="24"/>
        </w:rPr>
      </w:pPr>
      <w:r>
        <w:rPr>
          <w:b/>
          <w:color w:val="156082"/>
          <w:sz w:val="24"/>
          <w:szCs w:val="24"/>
        </w:rPr>
        <w:t xml:space="preserve">SYNOPSIS: </w:t>
      </w:r>
      <w:r>
        <w:rPr>
          <w:rFonts w:ascii="Lato" w:eastAsia="Lato" w:hAnsi="Lato" w:cs="Lato"/>
          <w:sz w:val="24"/>
          <w:szCs w:val="24"/>
        </w:rPr>
        <w:t>To encourage employers and businesses in aging-related fields to visit local schools and discuss career opportunities, fostering interest among students and addressing future workforce needs.</w:t>
      </w:r>
    </w:p>
    <w:p w14:paraId="4785E994" w14:textId="77777777" w:rsidR="00706A14" w:rsidRDefault="001B5DC0">
      <w:pPr>
        <w:rPr>
          <w:sz w:val="24"/>
          <w:szCs w:val="24"/>
        </w:rPr>
      </w:pPr>
      <w:r>
        <w:rPr>
          <w:b/>
          <w:color w:val="156082"/>
          <w:sz w:val="24"/>
          <w:szCs w:val="24"/>
        </w:rPr>
        <w:t>REQUIRED PLANNING TIME:</w:t>
      </w:r>
      <w:r>
        <w:rPr>
          <w:sz w:val="24"/>
          <w:szCs w:val="24"/>
        </w:rPr>
        <w:t xml:space="preserve"> Varies based on event size and activity</w:t>
      </w:r>
    </w:p>
    <w:p w14:paraId="775E9C4E" w14:textId="77777777" w:rsidR="00706A14" w:rsidRDefault="001B5DC0">
      <w:r>
        <w:rPr>
          <w:b/>
          <w:color w:val="156082"/>
          <w:sz w:val="24"/>
          <w:szCs w:val="24"/>
        </w:rPr>
        <w:t>IMPLEMENTATION PROCESS:</w:t>
      </w:r>
    </w:p>
    <w:p w14:paraId="039F5413" w14:textId="77777777" w:rsidR="00706A14" w:rsidRPr="00B16DC7" w:rsidRDefault="001B5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Strong"/>
        </w:rPr>
      </w:pPr>
      <w:r w:rsidRPr="00B16DC7">
        <w:rPr>
          <w:rStyle w:val="Strong"/>
        </w:rPr>
        <w:t>Preparation/Organizing Your Event</w:t>
      </w:r>
    </w:p>
    <w:p w14:paraId="12691A92" w14:textId="77777777" w:rsidR="00706A14" w:rsidRDefault="001B5D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Identify schools. </w:t>
      </w:r>
      <w:r>
        <w:t>Partner with schools offering health sciences, family and consumer sciences, or career development programs.</w:t>
      </w:r>
    </w:p>
    <w:p w14:paraId="652D1952" w14:textId="77777777" w:rsidR="00706A14" w:rsidRDefault="001B5D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Develop resources</w:t>
      </w:r>
      <w:r>
        <w:t>. Create a presentation and handouts exploring all careers available in your organization, industry growth, skills and qualifications. Share information about job-shadowing, tuition reimbursement, scholarships, or other training opportunities.</w:t>
      </w:r>
    </w:p>
    <w:p w14:paraId="0E31472B" w14:textId="77777777" w:rsidR="00706A14" w:rsidRDefault="001B5D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Establish partnerships</w:t>
      </w:r>
      <w:r>
        <w:t>. Reach out to local school districts, career counselors, and educators to identify appropriate classes or events. Coordinate with workforce development organizations for funding or logistical support.</w:t>
      </w:r>
    </w:p>
    <w:p w14:paraId="1383F113" w14:textId="77777777" w:rsidR="00706A14" w:rsidRDefault="00706A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7C41F13" w14:textId="77777777" w:rsidR="00706A14" w:rsidRPr="00B16DC7" w:rsidRDefault="001B5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Strong"/>
        </w:rPr>
      </w:pPr>
      <w:r w:rsidRPr="00B16DC7">
        <w:rPr>
          <w:rStyle w:val="Strong"/>
        </w:rPr>
        <w:t>Outreach and Scheduling</w:t>
      </w:r>
    </w:p>
    <w:p w14:paraId="49E8E615" w14:textId="77777777" w:rsidR="00706A14" w:rsidRDefault="001B5D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Determine participants.</w:t>
      </w:r>
      <w:r>
        <w:t xml:space="preserve"> Recruit employees from your organization to participate. Offer incentives, such as recognition or networking opportunities for engaging with schools.</w:t>
      </w:r>
    </w:p>
    <w:p w14:paraId="06CF86BA" w14:textId="77777777" w:rsidR="00706A14" w:rsidRDefault="001B5D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Schedule visits.</w:t>
      </w:r>
      <w:r>
        <w:t xml:space="preserve"> Coordinate with schools to align with career fairs, facility open house, or classroom schedules. Ensure presentations target appropriate age groups (e.g., middle school, high school).</w:t>
      </w:r>
    </w:p>
    <w:p w14:paraId="627051E7" w14:textId="77777777" w:rsidR="00706A14" w:rsidRDefault="001B5D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Promote your partnership.</w:t>
      </w:r>
      <w:r>
        <w:t xml:space="preserve"> Share before, during and after your event on social media, websites, and other local media.</w:t>
      </w:r>
    </w:p>
    <w:p w14:paraId="0A02FDF0" w14:textId="77777777" w:rsidR="00706A14" w:rsidRDefault="00706A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FD48CB2" w14:textId="77777777" w:rsidR="00706A14" w:rsidRPr="00B16DC7" w:rsidRDefault="001B5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Strong"/>
        </w:rPr>
      </w:pPr>
      <w:r w:rsidRPr="00B16DC7">
        <w:rPr>
          <w:rStyle w:val="Strong"/>
        </w:rPr>
        <w:t>Implementation</w:t>
      </w:r>
    </w:p>
    <w:p w14:paraId="08265E76" w14:textId="77777777" w:rsidR="00706A14" w:rsidRDefault="001B5D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Provide hands-on learning activities</w:t>
      </w:r>
      <w:r>
        <w:t>. Students prefer applied learning versus seated, lecture-style presentations.</w:t>
      </w:r>
    </w:p>
    <w:p w14:paraId="43028785" w14:textId="77777777" w:rsidR="00706A14" w:rsidRDefault="001B5D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Explore real world scenarios.</w:t>
      </w:r>
      <w:r>
        <w:t xml:space="preserve"> Include day-in-the-life experiences of professionals in your organization.</w:t>
      </w:r>
    </w:p>
    <w:p w14:paraId="5315CB10" w14:textId="77777777" w:rsidR="00706A14" w:rsidRDefault="001B5D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Discuss how students can get involved. </w:t>
      </w:r>
      <w:r>
        <w:t>Share about employment, volunteerism, and internship opportunities.</w:t>
      </w:r>
    </w:p>
    <w:p w14:paraId="061C052D" w14:textId="77777777" w:rsidR="00706A14" w:rsidRDefault="00706A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7BFF3316" w14:textId="77777777" w:rsidR="00706A14" w:rsidRPr="00B16DC7" w:rsidRDefault="001B5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Strong"/>
        </w:rPr>
      </w:pPr>
      <w:r w:rsidRPr="00B16DC7">
        <w:rPr>
          <w:rStyle w:val="Strong"/>
        </w:rPr>
        <w:t>Follow-Up and Evaluation</w:t>
      </w:r>
    </w:p>
    <w:p w14:paraId="0857C57D" w14:textId="77777777" w:rsidR="00706A14" w:rsidRDefault="001B5D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proofErr w:type="gramStart"/>
      <w:r>
        <w:rPr>
          <w:b/>
        </w:rPr>
        <w:lastRenderedPageBreak/>
        <w:t>Thank</w:t>
      </w:r>
      <w:proofErr w:type="gramEnd"/>
      <w:r>
        <w:rPr>
          <w:b/>
        </w:rPr>
        <w:t xml:space="preserve"> your partners.</w:t>
      </w:r>
      <w:r>
        <w:t xml:space="preserve"> Send a thank you to all partners involved.</w:t>
      </w:r>
    </w:p>
    <w:p w14:paraId="2A3FEE81" w14:textId="77777777" w:rsidR="00706A14" w:rsidRDefault="001B5D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Determine evaluation metrics and collect feedback. </w:t>
      </w:r>
      <w:r>
        <w:t xml:space="preserve">Use survey results from students and </w:t>
      </w:r>
      <w:proofErr w:type="gramStart"/>
      <w:r>
        <w:t>teachers, and</w:t>
      </w:r>
      <w:proofErr w:type="gramEnd"/>
      <w:r>
        <w:t xml:space="preserve"> gather insights from participating employees to measure the presentation's impact and make adjustments, as needed. Examples of metrics include </w:t>
      </w:r>
      <w:proofErr w:type="gramStart"/>
      <w:r>
        <w:t>number</w:t>
      </w:r>
      <w:proofErr w:type="gramEnd"/>
      <w:r>
        <w:t xml:space="preserve"> of schools and students reached, employee participation, and students’ interest in aging-related careers.</w:t>
      </w:r>
    </w:p>
    <w:p w14:paraId="71AD9723" w14:textId="77777777" w:rsidR="00706A14" w:rsidRDefault="001B5D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Share results. </w:t>
      </w:r>
      <w:r>
        <w:t>Highlight successful visits in newsletters or social media to encourage more participation, share student feedback with employers to reinforce the program's value.</w:t>
      </w:r>
    </w:p>
    <w:p w14:paraId="2B8C1679" w14:textId="77777777" w:rsidR="00706A14" w:rsidRDefault="001B5DC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Build on momentum. </w:t>
      </w:r>
      <w:r>
        <w:t>Create a sustainable program by maintaining the relationship with the school district and expanding outreach to include more partners (e.g., colleges, universities, workforce training centers).</w:t>
      </w:r>
    </w:p>
    <w:p w14:paraId="3846E411" w14:textId="77777777" w:rsidR="00706A14" w:rsidRDefault="00706A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12A83E4A" w14:textId="77777777" w:rsidR="00706A14" w:rsidRDefault="001B5DC0">
      <w:pPr>
        <w:rPr>
          <w:b/>
          <w:color w:val="E97132"/>
        </w:rPr>
      </w:pPr>
      <w:r>
        <w:rPr>
          <w:b/>
          <w:color w:val="156082"/>
          <w:sz w:val="24"/>
          <w:szCs w:val="24"/>
        </w:rPr>
        <w:t xml:space="preserve">SAMPLE RESOURCES: </w:t>
      </w:r>
      <w:r>
        <w:rPr>
          <w:i/>
        </w:rPr>
        <w:t>(the below are examples of resources that could be included but will vary depending on the event/activity)</w:t>
      </w:r>
    </w:p>
    <w:p w14:paraId="5B6A55C1" w14:textId="77777777" w:rsidR="00706A14" w:rsidRPr="00B16DC7" w:rsidRDefault="001B5D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Strong"/>
        </w:rPr>
      </w:pPr>
      <w:r w:rsidRPr="00B16DC7">
        <w:rPr>
          <w:rStyle w:val="Strong"/>
        </w:rPr>
        <w:t>Sample planning checklist:</w:t>
      </w:r>
    </w:p>
    <w:p w14:paraId="1968A1C9" w14:textId="77777777" w:rsidR="00706A14" w:rsidRDefault="00706A1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E97132"/>
        </w:rPr>
      </w:pPr>
    </w:p>
    <w:sdt>
      <w:sdtPr>
        <w:tag w:val="goog_rdk_0"/>
        <w:id w:val="590360995"/>
        <w:lock w:val="contentLocked"/>
      </w:sdtPr>
      <w:sdtEndPr/>
      <w:sdtContent>
        <w:tbl>
          <w:tblPr>
            <w:tblStyle w:val="a"/>
            <w:tblW w:w="961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615"/>
          </w:tblGrid>
          <w:tr w:rsidR="00706A14" w14:paraId="27533BFF" w14:textId="77777777">
            <w:tc>
              <w:tcPr>
                <w:tcW w:w="9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13593C" w14:textId="77777777" w:rsidR="00706A14" w:rsidRDefault="001B5D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color w:val="E97132"/>
                  </w:rPr>
                </w:pPr>
                <w:r>
                  <w:rPr>
                    <w:b/>
                    <w:color w:val="E97132"/>
                  </w:rPr>
                  <w:t>Preparing for Your Event</w:t>
                </w:r>
              </w:p>
            </w:tc>
          </w:tr>
          <w:tr w:rsidR="00706A14" w14:paraId="08C0B3EA" w14:textId="77777777">
            <w:tc>
              <w:tcPr>
                <w:tcW w:w="9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318060" w14:textId="77777777" w:rsidR="00706A14" w:rsidRDefault="001B5DC0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Create your presentation and other hand-outs. Make copies for participants.</w:t>
                </w:r>
              </w:p>
              <w:p w14:paraId="6916BB70" w14:textId="77777777" w:rsidR="00706A14" w:rsidRDefault="001B5DC0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Design and gather materials for hands-on activities.</w:t>
                </w:r>
              </w:p>
              <w:p w14:paraId="2821AC5A" w14:textId="77777777" w:rsidR="00706A14" w:rsidRDefault="001B5DC0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Secure a space large enough to host your event.</w:t>
                </w:r>
              </w:p>
              <w:p w14:paraId="2EDDCB6B" w14:textId="77777777" w:rsidR="00706A14" w:rsidRDefault="001B5DC0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Secure transportation or coordinate with school district staff (as applicable)</w:t>
                </w:r>
              </w:p>
              <w:p w14:paraId="0DD18FBB" w14:textId="77777777" w:rsidR="00706A14" w:rsidRDefault="001B5DC0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Identify and invite presenters</w:t>
                </w:r>
              </w:p>
              <w:p w14:paraId="3B83B3D4" w14:textId="77777777" w:rsidR="00706A14" w:rsidRDefault="001B5DC0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Create event signage (e.g., welcome banners, directional and parking signage)</w:t>
                </w:r>
              </w:p>
              <w:p w14:paraId="46969D03" w14:textId="77777777" w:rsidR="00706A14" w:rsidRDefault="001B5DC0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Recruit additional support staff to assist with event</w:t>
                </w:r>
              </w:p>
              <w:p w14:paraId="1B12637E" w14:textId="77777777" w:rsidR="00706A14" w:rsidRDefault="001B5DC0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Ensure permission has been granted by school leaders, parents/guardians, or others</w:t>
                </w:r>
              </w:p>
              <w:p w14:paraId="2B7FA5BA" w14:textId="77777777" w:rsidR="00706A14" w:rsidRDefault="001B5DC0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Create and distribute communication tools (e.g., promotional flyers, permission forms)</w:t>
                </w:r>
              </w:p>
              <w:p w14:paraId="5B0598F3" w14:textId="77777777" w:rsidR="00706A14" w:rsidRDefault="001B5DC0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Develop a plan for providing snacks and beverages for participants and presenters (as appropriate)</w:t>
                </w:r>
              </w:p>
              <w:p w14:paraId="00C98DF4" w14:textId="77777777" w:rsidR="00706A14" w:rsidRDefault="001B5DC0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Create plan for assessing event</w:t>
                </w:r>
              </w:p>
              <w:p w14:paraId="4F577DCA" w14:textId="77777777" w:rsidR="00706A14" w:rsidRDefault="001B5DC0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Ensure that the host building is clean and has accessible entrances and bathrooms</w:t>
                </w:r>
              </w:p>
              <w:p w14:paraId="6A819868" w14:textId="77777777" w:rsidR="00706A14" w:rsidRDefault="001B5DC0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Share about your event with your organization, the event partners, and public-facing media outlets</w:t>
                </w:r>
              </w:p>
            </w:tc>
          </w:tr>
          <w:tr w:rsidR="00706A14" w14:paraId="409561C8" w14:textId="77777777">
            <w:tc>
              <w:tcPr>
                <w:tcW w:w="9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C2BB39" w14:textId="77777777" w:rsidR="00706A14" w:rsidRDefault="001B5D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color w:val="E97132"/>
                  </w:rPr>
                </w:pPr>
                <w:r>
                  <w:rPr>
                    <w:b/>
                    <w:color w:val="E97132"/>
                  </w:rPr>
                  <w:t>Day of Your Event</w:t>
                </w:r>
              </w:p>
            </w:tc>
          </w:tr>
          <w:tr w:rsidR="00706A14" w14:paraId="69C9025C" w14:textId="77777777">
            <w:tc>
              <w:tcPr>
                <w:tcW w:w="9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D51AF6" w14:textId="77777777" w:rsidR="00706A14" w:rsidRDefault="001B5DC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Set-up event (e.g. signage, event supplies and equipment, registration table, technology, room layout, decorate)</w:t>
                </w:r>
              </w:p>
              <w:p w14:paraId="33781906" w14:textId="77777777" w:rsidR="00706A14" w:rsidRDefault="001B5DC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Welcome guests and direct attendees as they arrive. Ensure all speakers have arrived.</w:t>
                </w:r>
              </w:p>
              <w:p w14:paraId="2164C3DD" w14:textId="77777777" w:rsidR="00706A14" w:rsidRDefault="001B5DC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 xml:space="preserve">Monitor event flow, keep track of time, ensure schedule is followed. </w:t>
                </w:r>
              </w:p>
              <w:p w14:paraId="31BAB01B" w14:textId="77777777" w:rsidR="00706A14" w:rsidRDefault="001B5DC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Assist speakers to ensure they have everything they need (e.g. tech assistance, water).</w:t>
                </w:r>
              </w:p>
              <w:p w14:paraId="6202C5D6" w14:textId="77777777" w:rsidR="00706A14" w:rsidRDefault="001B5DC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Maintain communication with team members, vendors, and attendees.</w:t>
                </w:r>
              </w:p>
              <w:p w14:paraId="1F6C8E44" w14:textId="77777777" w:rsidR="00706A14" w:rsidRDefault="001B5DC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Solve problems and address any issues that arise (e.g. tech issues, attendee concerns).</w:t>
                </w:r>
              </w:p>
              <w:p w14:paraId="229A9348" w14:textId="77777777" w:rsidR="00706A14" w:rsidRDefault="001B5DC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Monitor clean-up by ensuring the venue is cleared properly and all materials are packed/put away.</w:t>
                </w:r>
              </w:p>
              <w:p w14:paraId="1F10FD10" w14:textId="77777777" w:rsidR="00706A14" w:rsidRDefault="001B5DC0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</w:pPr>
                <w:r>
                  <w:t>Thank attendees, presenters, special guests and partners.</w:t>
                </w:r>
              </w:p>
            </w:tc>
          </w:tr>
          <w:tr w:rsidR="00706A14" w14:paraId="60D464DD" w14:textId="77777777">
            <w:trPr>
              <w:trHeight w:val="447"/>
            </w:trPr>
            <w:tc>
              <w:tcPr>
                <w:tcW w:w="9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6C826C" w14:textId="77777777" w:rsidR="00706A14" w:rsidRDefault="001B5D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color w:val="E97132"/>
                  </w:rPr>
                </w:pPr>
                <w:r>
                  <w:rPr>
                    <w:b/>
                    <w:color w:val="E97132"/>
                  </w:rPr>
                  <w:t>Post-Event</w:t>
                </w:r>
              </w:p>
            </w:tc>
          </w:tr>
          <w:tr w:rsidR="00706A14" w14:paraId="75D721A0" w14:textId="77777777">
            <w:tc>
              <w:tcPr>
                <w:tcW w:w="9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2E673F" w14:textId="77777777" w:rsidR="00706A14" w:rsidRDefault="001B5DC0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lastRenderedPageBreak/>
                  <w:t>Send thank-you notes to guests, vendors, and speakers.</w:t>
                </w:r>
              </w:p>
              <w:p w14:paraId="423BCA7B" w14:textId="77777777" w:rsidR="00706A14" w:rsidRDefault="001B5DC0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Gather event participation or other evaluation data</w:t>
                </w:r>
              </w:p>
              <w:p w14:paraId="0AD3AE6C" w14:textId="77777777" w:rsidR="00706A14" w:rsidRDefault="001B5DC0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Create a sustainability plan. Capture feedback on how to improve the event in the future.</w:t>
                </w:r>
              </w:p>
            </w:tc>
          </w:tr>
        </w:tbl>
      </w:sdtContent>
    </w:sdt>
    <w:p w14:paraId="5931E066" w14:textId="77777777" w:rsidR="00706A14" w:rsidRDefault="00706A14">
      <w:pPr>
        <w:pBdr>
          <w:top w:val="nil"/>
          <w:left w:val="nil"/>
          <w:bottom w:val="nil"/>
          <w:right w:val="nil"/>
          <w:between w:val="nil"/>
        </w:pBdr>
        <w:rPr>
          <w:b/>
          <w:color w:val="E97132"/>
        </w:rPr>
      </w:pPr>
    </w:p>
    <w:sectPr w:rsidR="00706A14">
      <w:pgSz w:w="12240" w:h="15840"/>
      <w:pgMar w:top="72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D8C8848-15C1-40C0-AB51-175B6ADBEC0D}"/>
    <w:embedBold r:id="rId2" w:fontKey="{D1E189F7-5B15-43B9-A7F7-AC75869DDD02}"/>
    <w:embedItalic r:id="rId3" w:fontKey="{151E2928-6B80-4D8A-BB85-A83471C015C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C95EA5D9-EA58-48AB-9362-24D18C6E3516}"/>
  </w:font>
  <w:font w:name="Lato">
    <w:charset w:val="00"/>
    <w:family w:val="swiss"/>
    <w:pitch w:val="variable"/>
    <w:sig w:usb0="E10002FF" w:usb1="5000ECFF" w:usb2="00000021" w:usb3="00000000" w:csb0="0000019F" w:csb1="00000000"/>
    <w:embedRegular r:id="rId5" w:fontKey="{C0D72492-8F09-4E55-B50D-4000C8F03D0C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34A"/>
    <w:multiLevelType w:val="multilevel"/>
    <w:tmpl w:val="F34EB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AB091B"/>
    <w:multiLevelType w:val="multilevel"/>
    <w:tmpl w:val="05C0F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CA2277"/>
    <w:multiLevelType w:val="multilevel"/>
    <w:tmpl w:val="D7265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30202E"/>
    <w:multiLevelType w:val="multilevel"/>
    <w:tmpl w:val="6B9E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688573">
    <w:abstractNumId w:val="1"/>
  </w:num>
  <w:num w:numId="2" w16cid:durableId="1957908746">
    <w:abstractNumId w:val="3"/>
  </w:num>
  <w:num w:numId="3" w16cid:durableId="321859688">
    <w:abstractNumId w:val="0"/>
  </w:num>
  <w:num w:numId="4" w16cid:durableId="115680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1MDcyNDcwMrA0NzFU0lEKTi0uzszPAykwrAUAa7f89ywAAAA="/>
  </w:docVars>
  <w:rsids>
    <w:rsidRoot w:val="00706A14"/>
    <w:rsid w:val="001A1137"/>
    <w:rsid w:val="001B5DC0"/>
    <w:rsid w:val="002B6794"/>
    <w:rsid w:val="00706A14"/>
    <w:rsid w:val="00730748"/>
    <w:rsid w:val="0084418E"/>
    <w:rsid w:val="00950D89"/>
    <w:rsid w:val="00B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B3C15"/>
  <w15:docId w15:val="{05411CED-B986-40DF-87EB-21E079C2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0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00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0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4E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0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4EB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B1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C6314BCABCC418FC04A737C8AE3FE" ma:contentTypeVersion="23" ma:contentTypeDescription="Create a new document." ma:contentTypeScope="" ma:versionID="5f00ffe223276db5e4c50bd911f6a601">
  <xsd:schema xmlns:xsd="http://www.w3.org/2001/XMLSchema" xmlns:xs="http://www.w3.org/2001/XMLSchema" xmlns:p="http://schemas.microsoft.com/office/2006/metadata/properties" xmlns:ns2="05df5042-890a-464c-9cdf-5db2768cdbc5" xmlns:ns3="8b9182a9-0eeb-4997-a911-f10badd64b7c" targetNamespace="http://schemas.microsoft.com/office/2006/metadata/properties" ma:root="true" ma:fieldsID="5ec49facdc6410d049fe8c404a9086d5" ns2:_="" ns3:_="">
    <xsd:import namespace="05df5042-890a-464c-9cdf-5db2768cdbc5"/>
    <xsd:import namespace="8b9182a9-0eeb-4997-a911-f10badd64b7c"/>
    <xsd:element name="properties">
      <xsd:complexType>
        <xsd:sequence>
          <xsd:element name="documentManagement">
            <xsd:complexType>
              <xsd:all>
                <xsd:element ref="ns2:kbf8e7400b6143e1a383698e679c4836" minOccurs="0"/>
                <xsd:element ref="ns2:TaxCatchAll" minOccurs="0"/>
                <xsd:element ref="ns2:k2fd6bc8450c4ddfa296e241522e9f6c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5042-890a-464c-9cdf-5db2768cdbc5" elementFormDefault="qualified">
    <xsd:import namespace="http://schemas.microsoft.com/office/2006/documentManagement/types"/>
    <xsd:import namespace="http://schemas.microsoft.com/office/infopath/2007/PartnerControls"/>
    <xsd:element name="kbf8e7400b6143e1a383698e679c4836" ma:index="9" nillable="true" ma:taxonomy="true" ma:internalName="kbf8e7400b6143e1a383698e679c4836" ma:taxonomyFieldName="ProjectsLibProject" ma:displayName="Project" ma:readOnly="false" ma:default="" ma:fieldId="{4bf8e740-0b61-43e1-a383-698e679c4836}" ma:sspId="65cda789-69c7-4f09-82a8-9dbde25bb7eb" ma:termSetId="d4192e73-a4fa-40b6-98b8-a8032d292e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5924d9f-6945-4e01-9efe-05af68081d76}" ma:internalName="TaxCatchAll" ma:showField="CatchAllData" ma:web="05df5042-890a-464c-9cdf-5db2768cd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fd6bc8450c4ddfa296e241522e9f6c" ma:index="12" nillable="true" ma:taxonomy="true" ma:internalName="k2fd6bc8450c4ddfa296e241522e9f6c" ma:taxonomyFieldName="Year" ma:displayName="Year" ma:readOnly="false" ma:default="16;#2021|26f5abe3-013f-4cb2-b3b7-56c01ab14503" ma:fieldId="{42fd6bc8-450c-4ddf-a296-e241522e9f6c}" ma:sspId="65cda789-69c7-4f09-82a8-9dbde25bb7eb" ma:termSetId="f25a224d-6d5c-47cd-9981-cfc93028d7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182a9-0eeb-4997-a911-f10badd64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5cda789-69c7-4f09-82a8-9dbde25bb7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s9lsFZf4FljFKZEO71EXOIcCOw==">CgMxLjAaHwoBMBIaChgICVIUChJ0YWJsZS51djhzaGk5NG1qNDI4AHIhMWo2WEFOZmlkbnZJMXlPWnJOTlVjbWRTaF9nM3owUXpv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2fd6bc8450c4ddfa296e241522e9f6c xmlns="05df5042-890a-464c-9cdf-5db2768cd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26f5abe3-013f-4cb2-b3b7-56c01ab14503</TermId>
        </TermInfo>
      </Terms>
    </k2fd6bc8450c4ddfa296e241522e9f6c>
    <lcf76f155ced4ddcb4097134ff3c332f xmlns="8b9182a9-0eeb-4997-a911-f10badd64b7c">
      <Terms xmlns="http://schemas.microsoft.com/office/infopath/2007/PartnerControls"/>
    </lcf76f155ced4ddcb4097134ff3c332f>
    <kbf8e7400b6143e1a383698e679c4836 xmlns="05df5042-890a-464c-9cdf-5db2768cdbc5">
      <Terms xmlns="http://schemas.microsoft.com/office/infopath/2007/PartnerControls"/>
    </kbf8e7400b6143e1a383698e679c4836>
    <TaxCatchAll xmlns="05df5042-890a-464c-9cdf-5db2768cdbc5">
      <Value>16</Value>
    </TaxCatchAll>
  </documentManagement>
</p:properties>
</file>

<file path=customXml/itemProps1.xml><?xml version="1.0" encoding="utf-8"?>
<ds:datastoreItem xmlns:ds="http://schemas.openxmlformats.org/officeDocument/2006/customXml" ds:itemID="{44A169D5-8440-4BC1-91DA-659000BD4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93C04-0FF7-4925-ADAD-6A5E2FDBE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f5042-890a-464c-9cdf-5db2768cdbc5"/>
    <ds:schemaRef ds:uri="8b9182a9-0eeb-4997-a911-f10badd64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FA657929-79BB-4C42-881A-D73BF5BE3279}">
  <ds:schemaRefs>
    <ds:schemaRef ds:uri="http://purl.org/dc/terms/"/>
    <ds:schemaRef ds:uri="http://schemas.openxmlformats.org/package/2006/metadata/core-properties"/>
    <ds:schemaRef ds:uri="http://purl.org/dc/elements/1.1/"/>
    <ds:schemaRef ds:uri="8b9182a9-0eeb-4997-a911-f10badd64b7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5df5042-890a-464c-9cdf-5db2768cdbc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4059</Characters>
  <Application>Microsoft Office Word</Application>
  <DocSecurity>0</DocSecurity>
  <Lines>86</Lines>
  <Paragraphs>58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Walls</dc:creator>
  <cp:lastModifiedBy>Marianne Sackett</cp:lastModifiedBy>
  <cp:revision>2</cp:revision>
  <dcterms:created xsi:type="dcterms:W3CDTF">2025-03-03T20:37:00Z</dcterms:created>
  <dcterms:modified xsi:type="dcterms:W3CDTF">2025-03-03T20:37:00Z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0x01010023AC6314BCABCC418FC04A737C8AE3FE</vt:lpwstr>
  </property>
  <property fmtid="{D5CDD505-2E9C-101B-9397-08002B2CF9AE}" pid="3" name="Year">
    <vt:lpwstr>16;#2021|26f5abe3-013f-4cb2-b3b7-56c01ab14503</vt:lpwstr>
  </property>
  <property fmtid="{D5CDD505-2E9C-101B-9397-08002B2CF9AE}" pid="4" name="ProjectsLibProject">
    <vt:lpwstr/>
  </property>
  <property fmtid="{D5CDD505-2E9C-101B-9397-08002B2CF9AE}" pid="5" name="GrammarlyDocumentId">
    <vt:lpwstr>49d318cedc287111d525c75ca85f34ab3c4b3f7d44f8d0570ea5ccc109806409</vt:lpwstr>
  </property>
</Properties>
</file>